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620D7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4ECB00BF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18D0B30A">
      <w:pPr>
        <w:pStyle w:val="3"/>
      </w:pPr>
    </w:p>
    <w:p w14:paraId="57E15E1A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石家庄国际机场分公司飞行区管理部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74D32C74">
      <w:pPr>
        <w:spacing w:line="360" w:lineRule="auto"/>
        <w:jc w:val="left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本公司己获得你部制发的《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石家庄国际机场飞行区土面区（含配套设施）及机场周边环境治理项目（2025-2026年度）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》。按文件要求，经研究本公司决定参加此次谈判活动。</w:t>
      </w:r>
    </w:p>
    <w:p w14:paraId="40C30E77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4279EFA8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14BD037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2836167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069FE6B7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028772D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5905B81C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050E633B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7F2ED7B9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4D47985F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3F4526D2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3146ED7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22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